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8"/>
        <w:tblpPr w:leftFromText="180" w:rightFromText="180" w:vertAnchor="text" w:tblpY="-1575"/>
        <w:tblW w:w="2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2130"/>
        <w:gridCol w:w="3150"/>
        <w:gridCol w:w="1455"/>
        <w:gridCol w:w="975"/>
        <w:gridCol w:w="1170"/>
        <w:gridCol w:w="7095"/>
        <w:gridCol w:w="1635"/>
        <w:gridCol w:w="3225"/>
      </w:tblGrid>
      <w:tr w:rsidR="009B19A2" w14:paraId="7C312B62" w14:textId="77777777" w:rsidTr="009B19A2">
        <w:trPr>
          <w:trHeight w:val="653"/>
        </w:trPr>
        <w:tc>
          <w:tcPr>
            <w:tcW w:w="930" w:type="dxa"/>
          </w:tcPr>
          <w:p w14:paraId="6F318385"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S/N</w:t>
            </w:r>
          </w:p>
        </w:tc>
        <w:tc>
          <w:tcPr>
            <w:tcW w:w="2130" w:type="dxa"/>
          </w:tcPr>
          <w:p w14:paraId="598F7855"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GRANT</w:t>
            </w:r>
          </w:p>
        </w:tc>
        <w:tc>
          <w:tcPr>
            <w:tcW w:w="3150" w:type="dxa"/>
          </w:tcPr>
          <w:p w14:paraId="700827D2"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ELIGIBILITY CRITERIA</w:t>
            </w:r>
          </w:p>
        </w:tc>
        <w:tc>
          <w:tcPr>
            <w:tcW w:w="1455" w:type="dxa"/>
          </w:tcPr>
          <w:p w14:paraId="03ECA66B"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DEADLINE</w:t>
            </w:r>
          </w:p>
        </w:tc>
        <w:tc>
          <w:tcPr>
            <w:tcW w:w="975" w:type="dxa"/>
          </w:tcPr>
          <w:p w14:paraId="28B9058E"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GRANT TYPE</w:t>
            </w:r>
          </w:p>
        </w:tc>
        <w:tc>
          <w:tcPr>
            <w:tcW w:w="1170" w:type="dxa"/>
          </w:tcPr>
          <w:p w14:paraId="5D16D247"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GRANT VALUE</w:t>
            </w:r>
          </w:p>
        </w:tc>
        <w:tc>
          <w:tcPr>
            <w:tcW w:w="7095" w:type="dxa"/>
          </w:tcPr>
          <w:p w14:paraId="4F8DE8C0"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BRIEF DESCRIPTION</w:t>
            </w:r>
          </w:p>
        </w:tc>
        <w:tc>
          <w:tcPr>
            <w:tcW w:w="1635" w:type="dxa"/>
          </w:tcPr>
          <w:p w14:paraId="1226EA5D"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AREA/SECTOR</w:t>
            </w:r>
          </w:p>
        </w:tc>
        <w:tc>
          <w:tcPr>
            <w:tcW w:w="3225" w:type="dxa"/>
          </w:tcPr>
          <w:p w14:paraId="79F9B8BD" w14:textId="77777777" w:rsidR="009B19A2" w:rsidRDefault="009B19A2" w:rsidP="009B19A2">
            <w:pPr>
              <w:tabs>
                <w:tab w:val="left" w:pos="21405"/>
              </w:tabs>
              <w:spacing w:after="200"/>
              <w:jc w:val="center"/>
              <w:rPr>
                <w:rFonts w:ascii="Arial" w:eastAsia="Arial" w:hAnsi="Arial" w:cs="Arial"/>
                <w:sz w:val="24"/>
                <w:szCs w:val="24"/>
                <w:highlight w:val="white"/>
              </w:rPr>
            </w:pPr>
            <w:r>
              <w:rPr>
                <w:rFonts w:ascii="Arial" w:eastAsia="Arial" w:hAnsi="Arial" w:cs="Arial"/>
                <w:sz w:val="24"/>
                <w:szCs w:val="24"/>
                <w:highlight w:val="white"/>
              </w:rPr>
              <w:t>OTHER RELEVANT INFORMATION</w:t>
            </w:r>
          </w:p>
        </w:tc>
      </w:tr>
      <w:tr w:rsidR="009B19A2" w14:paraId="415BB89A" w14:textId="77777777" w:rsidTr="009B19A2">
        <w:tc>
          <w:tcPr>
            <w:tcW w:w="930" w:type="dxa"/>
          </w:tcPr>
          <w:p w14:paraId="136D0AD8" w14:textId="77777777" w:rsidR="009B19A2" w:rsidRDefault="009B19A2" w:rsidP="009B19A2">
            <w:pPr>
              <w:numPr>
                <w:ilvl w:val="0"/>
                <w:numId w:val="5"/>
              </w:numPr>
              <w:tabs>
                <w:tab w:val="left" w:pos="21405"/>
              </w:tabs>
              <w:spacing w:after="200"/>
              <w:rPr>
                <w:rFonts w:ascii="Arial" w:eastAsia="Arial" w:hAnsi="Arial" w:cs="Arial"/>
                <w:sz w:val="24"/>
                <w:szCs w:val="24"/>
                <w:highlight w:val="white"/>
              </w:rPr>
            </w:pPr>
          </w:p>
        </w:tc>
        <w:tc>
          <w:tcPr>
            <w:tcW w:w="2130" w:type="dxa"/>
          </w:tcPr>
          <w:p w14:paraId="5945ADA6" w14:textId="77777777" w:rsidR="009B19A2" w:rsidRDefault="009B19A2" w:rsidP="009B19A2">
            <w:pPr>
              <w:tabs>
                <w:tab w:val="left" w:pos="21405"/>
              </w:tabs>
              <w:spacing w:after="200"/>
              <w:rPr>
                <w:rFonts w:ascii="Arial" w:eastAsia="Arial" w:hAnsi="Arial" w:cs="Arial"/>
                <w:sz w:val="24"/>
                <w:szCs w:val="24"/>
                <w:highlight w:val="white"/>
              </w:rPr>
            </w:pPr>
            <w:bookmarkStart w:id="0" w:name="_heading=h.5hnnx2twz1uq" w:colFirst="0" w:colLast="0"/>
            <w:bookmarkEnd w:id="0"/>
            <w:r>
              <w:rPr>
                <w:rFonts w:ascii="Arial" w:eastAsia="Arial" w:hAnsi="Arial" w:cs="Arial"/>
                <w:sz w:val="24"/>
                <w:szCs w:val="24"/>
                <w:highlight w:val="white"/>
              </w:rPr>
              <w:t>A multi-stage customized programme to scale your business, completely free-of-charge.</w:t>
            </w:r>
          </w:p>
        </w:tc>
        <w:tc>
          <w:tcPr>
            <w:tcW w:w="3150" w:type="dxa"/>
          </w:tcPr>
          <w:p w14:paraId="6123A773"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 xml:space="preserve">A legally established business in Africa, Asia, Latin America or the Middle East which is for-profit or non-profit social enterprise in its pre-seed or seed </w:t>
            </w:r>
            <w:proofErr w:type="spellStart"/>
            <w:r>
              <w:rPr>
                <w:rFonts w:ascii="Arial" w:eastAsia="Arial" w:hAnsi="Arial" w:cs="Arial"/>
                <w:sz w:val="24"/>
                <w:szCs w:val="24"/>
                <w:highlight w:val="white"/>
              </w:rPr>
              <w:t>stagewith</w:t>
            </w:r>
            <w:proofErr w:type="spellEnd"/>
            <w:r>
              <w:rPr>
                <w:rFonts w:ascii="Arial" w:eastAsia="Arial" w:hAnsi="Arial" w:cs="Arial"/>
                <w:sz w:val="24"/>
                <w:szCs w:val="24"/>
                <w:highlight w:val="white"/>
              </w:rPr>
              <w:t xml:space="preserve"> an existing product or service that have started earning revenue and demonstrates a clear path to financial returns and social impact</w:t>
            </w:r>
          </w:p>
        </w:tc>
        <w:tc>
          <w:tcPr>
            <w:tcW w:w="1455" w:type="dxa"/>
          </w:tcPr>
          <w:p w14:paraId="2FDBC111"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April 1st 2023 &amp; October 1st 2023</w:t>
            </w:r>
          </w:p>
        </w:tc>
        <w:tc>
          <w:tcPr>
            <w:tcW w:w="975" w:type="dxa"/>
          </w:tcPr>
          <w:p w14:paraId="1C8A7E4C"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Grant</w:t>
            </w:r>
          </w:p>
        </w:tc>
        <w:tc>
          <w:tcPr>
            <w:tcW w:w="1170" w:type="dxa"/>
          </w:tcPr>
          <w:p w14:paraId="081BEA47"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Technical services</w:t>
            </w:r>
          </w:p>
        </w:tc>
        <w:tc>
          <w:tcPr>
            <w:tcW w:w="7095" w:type="dxa"/>
          </w:tcPr>
          <w:p w14:paraId="31F74FE7"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 xml:space="preserve">The </w:t>
            </w:r>
            <w:proofErr w:type="spellStart"/>
            <w:r>
              <w:rPr>
                <w:rFonts w:ascii="Arial" w:eastAsia="Arial" w:hAnsi="Arial" w:cs="Arial"/>
                <w:sz w:val="24"/>
                <w:szCs w:val="24"/>
                <w:highlight w:val="white"/>
              </w:rPr>
              <w:t>BfE</w:t>
            </w:r>
            <w:proofErr w:type="spellEnd"/>
            <w:r>
              <w:rPr>
                <w:rFonts w:ascii="Arial" w:eastAsia="Arial" w:hAnsi="Arial" w:cs="Arial"/>
                <w:sz w:val="24"/>
                <w:szCs w:val="24"/>
                <w:highlight w:val="white"/>
              </w:rPr>
              <w:t xml:space="preserve"> Incubation </w:t>
            </w:r>
            <w:proofErr w:type="spellStart"/>
            <w:r>
              <w:rPr>
                <w:rFonts w:ascii="Arial" w:eastAsia="Arial" w:hAnsi="Arial" w:cs="Arial"/>
                <w:sz w:val="24"/>
                <w:szCs w:val="24"/>
                <w:highlight w:val="white"/>
              </w:rPr>
              <w:t>Programme</w:t>
            </w:r>
            <w:proofErr w:type="spellEnd"/>
            <w:r>
              <w:rPr>
                <w:rFonts w:ascii="Arial" w:eastAsia="Arial" w:hAnsi="Arial" w:cs="Arial"/>
                <w:sz w:val="24"/>
                <w:szCs w:val="24"/>
                <w:highlight w:val="white"/>
              </w:rPr>
              <w:t xml:space="preserve"> lasts between 6-8 months. Each engagement is conducted completely free-of-charge by our chapter teams and professional mentors with deep industry expertise. The expected services throughout this incubation programme include consulting, financial advisory, legal advisory and technical advisory</w:t>
            </w:r>
          </w:p>
        </w:tc>
        <w:tc>
          <w:tcPr>
            <w:tcW w:w="1635" w:type="dxa"/>
          </w:tcPr>
          <w:p w14:paraId="77C12DE7"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Business &amp; Industry, Entrepreneurship, Startups</w:t>
            </w:r>
          </w:p>
        </w:tc>
        <w:tc>
          <w:tcPr>
            <w:tcW w:w="3225" w:type="dxa"/>
          </w:tcPr>
          <w:p w14:paraId="490AE0B7"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 xml:space="preserve">For more information, visit: </w:t>
            </w:r>
            <w:hyperlink r:id="rId8">
              <w:r>
                <w:rPr>
                  <w:rFonts w:ascii="Arial" w:eastAsia="Arial" w:hAnsi="Arial" w:cs="Arial"/>
                  <w:sz w:val="24"/>
                  <w:szCs w:val="24"/>
                  <w:highlight w:val="white"/>
                  <w:u w:val="single"/>
                </w:rPr>
                <w:t>https://www.bridgesforenterprise.com/startups/</w:t>
              </w:r>
            </w:hyperlink>
          </w:p>
        </w:tc>
      </w:tr>
      <w:tr w:rsidR="009B19A2" w14:paraId="7E7DE926" w14:textId="77777777" w:rsidTr="009B19A2">
        <w:tc>
          <w:tcPr>
            <w:tcW w:w="930" w:type="dxa"/>
          </w:tcPr>
          <w:p w14:paraId="76C5C9E7" w14:textId="77777777" w:rsidR="009B19A2" w:rsidRDefault="009B19A2" w:rsidP="009B19A2">
            <w:pPr>
              <w:numPr>
                <w:ilvl w:val="0"/>
                <w:numId w:val="5"/>
              </w:numPr>
              <w:tabs>
                <w:tab w:val="left" w:pos="21405"/>
              </w:tabs>
              <w:spacing w:after="200"/>
              <w:rPr>
                <w:rFonts w:ascii="Arial" w:eastAsia="Arial" w:hAnsi="Arial" w:cs="Arial"/>
                <w:sz w:val="24"/>
                <w:szCs w:val="24"/>
                <w:highlight w:val="white"/>
              </w:rPr>
            </w:pPr>
          </w:p>
        </w:tc>
        <w:tc>
          <w:tcPr>
            <w:tcW w:w="2130" w:type="dxa"/>
          </w:tcPr>
          <w:p w14:paraId="1CDF9A95"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Higher Education for Leadership, Innovation, and Exchange (HELIX), A New Partnerships Initiative (NPI)</w:t>
            </w:r>
          </w:p>
          <w:p w14:paraId="4939FCC0" w14:textId="77777777" w:rsidR="009B19A2" w:rsidRDefault="009B19A2" w:rsidP="009B19A2">
            <w:pPr>
              <w:pStyle w:val="Heading2"/>
              <w:tabs>
                <w:tab w:val="left" w:pos="21405"/>
              </w:tabs>
              <w:spacing w:after="200"/>
              <w:outlineLvl w:val="1"/>
              <w:rPr>
                <w:rFonts w:ascii="Arial" w:eastAsia="Arial" w:hAnsi="Arial" w:cs="Arial"/>
                <w:color w:val="000000"/>
                <w:sz w:val="24"/>
                <w:szCs w:val="24"/>
                <w:highlight w:val="white"/>
              </w:rPr>
            </w:pPr>
            <w:bookmarkStart w:id="1" w:name="_heading=h.dlbqkq8dlhtq" w:colFirst="0" w:colLast="0"/>
            <w:bookmarkEnd w:id="1"/>
          </w:p>
        </w:tc>
        <w:tc>
          <w:tcPr>
            <w:tcW w:w="3150" w:type="dxa"/>
          </w:tcPr>
          <w:p w14:paraId="50A23B8C"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 xml:space="preserve">NGOs, Not-for- profit media organizations, Charitable organizations, Faith-based organizations, Professional organizations, Labour unions, Workers’ organizations, Associations of elected local representatives, Foundations and Policy Development and Research Institutes. Application of a consortium of CSOs will also be considered. </w:t>
            </w:r>
          </w:p>
        </w:tc>
        <w:tc>
          <w:tcPr>
            <w:tcW w:w="1455" w:type="dxa"/>
          </w:tcPr>
          <w:p w14:paraId="7AD355FA"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2nd April, 2023</w:t>
            </w:r>
          </w:p>
        </w:tc>
        <w:tc>
          <w:tcPr>
            <w:tcW w:w="975" w:type="dxa"/>
          </w:tcPr>
          <w:p w14:paraId="18965C25"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Grant</w:t>
            </w:r>
          </w:p>
        </w:tc>
        <w:tc>
          <w:tcPr>
            <w:tcW w:w="1170" w:type="dxa"/>
          </w:tcPr>
          <w:p w14:paraId="5B59C8E3"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Up to $60 million</w:t>
            </w:r>
          </w:p>
        </w:tc>
        <w:tc>
          <w:tcPr>
            <w:tcW w:w="7095" w:type="dxa"/>
          </w:tcPr>
          <w:p w14:paraId="1E7C9751"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The aim is  to improve partner country higher education individual, institutional, and organizational capacity for change by supporting opportunities for partnerships, scholarships, exchanges, fellowships, internships, apprenticeships, work-based learning, research, communities of practice, and other relevant forms of capacity development and change management</w:t>
            </w:r>
          </w:p>
        </w:tc>
        <w:tc>
          <w:tcPr>
            <w:tcW w:w="1635" w:type="dxa"/>
          </w:tcPr>
          <w:p w14:paraId="2CC5B2A7"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Education</w:t>
            </w:r>
          </w:p>
        </w:tc>
        <w:tc>
          <w:tcPr>
            <w:tcW w:w="3225" w:type="dxa"/>
          </w:tcPr>
          <w:p w14:paraId="37637B4C"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 xml:space="preserve">For more information, visit: </w:t>
            </w:r>
            <w:hyperlink r:id="rId9">
              <w:r>
                <w:rPr>
                  <w:rFonts w:ascii="Arial" w:eastAsia="Arial" w:hAnsi="Arial" w:cs="Arial"/>
                  <w:sz w:val="24"/>
                  <w:szCs w:val="24"/>
                  <w:highlight w:val="white"/>
                  <w:u w:val="single"/>
                </w:rPr>
                <w:t>https://www.grants.gov/web/grants/view-opportunity.html?oppId=326056</w:t>
              </w:r>
            </w:hyperlink>
          </w:p>
        </w:tc>
      </w:tr>
      <w:tr w:rsidR="009B19A2" w14:paraId="31AD3496" w14:textId="77777777" w:rsidTr="009B19A2">
        <w:tc>
          <w:tcPr>
            <w:tcW w:w="930" w:type="dxa"/>
          </w:tcPr>
          <w:p w14:paraId="3F664F24" w14:textId="77777777" w:rsidR="009B19A2" w:rsidRDefault="009B19A2" w:rsidP="009B19A2">
            <w:pPr>
              <w:numPr>
                <w:ilvl w:val="0"/>
                <w:numId w:val="5"/>
              </w:numPr>
              <w:tabs>
                <w:tab w:val="left" w:pos="21405"/>
              </w:tabs>
              <w:spacing w:after="200"/>
              <w:rPr>
                <w:rFonts w:ascii="Arial" w:eastAsia="Arial" w:hAnsi="Arial" w:cs="Arial"/>
                <w:sz w:val="24"/>
                <w:szCs w:val="24"/>
                <w:highlight w:val="white"/>
              </w:rPr>
            </w:pPr>
          </w:p>
        </w:tc>
        <w:tc>
          <w:tcPr>
            <w:tcW w:w="2130" w:type="dxa"/>
          </w:tcPr>
          <w:p w14:paraId="52F6E720" w14:textId="77777777" w:rsidR="009B19A2" w:rsidRDefault="009B19A2" w:rsidP="009B19A2">
            <w:pPr>
              <w:tabs>
                <w:tab w:val="left" w:pos="21405"/>
              </w:tabs>
              <w:spacing w:after="200"/>
              <w:rPr>
                <w:rFonts w:ascii="Arial" w:eastAsia="Arial" w:hAnsi="Arial" w:cs="Arial"/>
                <w:sz w:val="24"/>
                <w:szCs w:val="24"/>
                <w:highlight w:val="white"/>
              </w:rPr>
            </w:pPr>
          </w:p>
          <w:p w14:paraId="650DA8AA" w14:textId="77777777" w:rsidR="009B19A2" w:rsidRDefault="009B19A2" w:rsidP="009B19A2">
            <w:pPr>
              <w:tabs>
                <w:tab w:val="left" w:pos="21405"/>
              </w:tabs>
              <w:spacing w:after="200"/>
              <w:rPr>
                <w:rFonts w:ascii="Arial" w:eastAsia="Arial" w:hAnsi="Arial" w:cs="Arial"/>
                <w:sz w:val="24"/>
                <w:szCs w:val="24"/>
                <w:highlight w:val="white"/>
              </w:rPr>
            </w:pPr>
            <w:proofErr w:type="spellStart"/>
            <w:r>
              <w:rPr>
                <w:rFonts w:ascii="Arial" w:eastAsia="Arial" w:hAnsi="Arial" w:cs="Arial"/>
                <w:sz w:val="24"/>
                <w:szCs w:val="24"/>
                <w:highlight w:val="white"/>
              </w:rPr>
              <w:t>AgriFood</w:t>
            </w:r>
            <w:proofErr w:type="spellEnd"/>
          </w:p>
        </w:tc>
        <w:tc>
          <w:tcPr>
            <w:tcW w:w="3150" w:type="dxa"/>
          </w:tcPr>
          <w:p w14:paraId="580C6D21" w14:textId="77777777" w:rsidR="009B19A2" w:rsidRDefault="009B19A2" w:rsidP="009B19A2">
            <w:pPr>
              <w:tabs>
                <w:tab w:val="left" w:pos="21405"/>
              </w:tabs>
              <w:spacing w:before="280" w:after="280"/>
              <w:rPr>
                <w:rFonts w:ascii="Arial" w:eastAsia="Arial" w:hAnsi="Arial" w:cs="Arial"/>
                <w:sz w:val="24"/>
                <w:szCs w:val="24"/>
                <w:highlight w:val="white"/>
              </w:rPr>
            </w:pPr>
            <w:r>
              <w:rPr>
                <w:rFonts w:ascii="Arial" w:eastAsia="Arial" w:hAnsi="Arial" w:cs="Arial"/>
                <w:sz w:val="24"/>
                <w:szCs w:val="24"/>
                <w:highlight w:val="white"/>
              </w:rPr>
              <w:t>All purpose-driven founders with a vision for a greener future</w:t>
            </w:r>
          </w:p>
          <w:p w14:paraId="6FC36FFD" w14:textId="77777777" w:rsidR="009B19A2" w:rsidRDefault="009B19A2" w:rsidP="009B19A2">
            <w:pPr>
              <w:tabs>
                <w:tab w:val="left" w:pos="21405"/>
              </w:tabs>
              <w:spacing w:after="200"/>
              <w:rPr>
                <w:rFonts w:ascii="Arial" w:eastAsia="Arial" w:hAnsi="Arial" w:cs="Arial"/>
                <w:sz w:val="24"/>
                <w:szCs w:val="24"/>
                <w:highlight w:val="white"/>
              </w:rPr>
            </w:pPr>
          </w:p>
        </w:tc>
        <w:tc>
          <w:tcPr>
            <w:tcW w:w="1455" w:type="dxa"/>
          </w:tcPr>
          <w:p w14:paraId="37AC376B" w14:textId="77777777" w:rsidR="009B19A2" w:rsidRDefault="009B19A2" w:rsidP="009B19A2">
            <w:pPr>
              <w:tabs>
                <w:tab w:val="left" w:pos="21405"/>
              </w:tabs>
              <w:spacing w:after="200"/>
              <w:rPr>
                <w:rFonts w:ascii="Arial" w:eastAsia="Arial" w:hAnsi="Arial" w:cs="Arial"/>
                <w:sz w:val="24"/>
                <w:szCs w:val="24"/>
                <w:highlight w:val="white"/>
              </w:rPr>
            </w:pPr>
          </w:p>
          <w:p w14:paraId="64D6DD1C"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7th April 2023</w:t>
            </w:r>
          </w:p>
        </w:tc>
        <w:tc>
          <w:tcPr>
            <w:tcW w:w="975" w:type="dxa"/>
          </w:tcPr>
          <w:p w14:paraId="21ED61D3" w14:textId="77777777" w:rsidR="009B19A2" w:rsidRDefault="009B19A2" w:rsidP="009B19A2">
            <w:pPr>
              <w:tabs>
                <w:tab w:val="left" w:pos="21405"/>
              </w:tabs>
              <w:spacing w:after="200"/>
              <w:rPr>
                <w:rFonts w:ascii="Arial" w:eastAsia="Arial" w:hAnsi="Arial" w:cs="Arial"/>
                <w:sz w:val="24"/>
                <w:szCs w:val="24"/>
                <w:highlight w:val="white"/>
              </w:rPr>
            </w:pPr>
          </w:p>
          <w:p w14:paraId="2ACEAFA6"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Investment</w:t>
            </w:r>
          </w:p>
        </w:tc>
        <w:tc>
          <w:tcPr>
            <w:tcW w:w="1170" w:type="dxa"/>
          </w:tcPr>
          <w:p w14:paraId="56353E88" w14:textId="77777777" w:rsidR="009B19A2" w:rsidRDefault="009B19A2" w:rsidP="009B19A2">
            <w:pPr>
              <w:tabs>
                <w:tab w:val="left" w:pos="21405"/>
              </w:tabs>
              <w:spacing w:after="200"/>
              <w:rPr>
                <w:rFonts w:ascii="Arial" w:eastAsia="Arial" w:hAnsi="Arial" w:cs="Arial"/>
                <w:sz w:val="24"/>
                <w:szCs w:val="24"/>
                <w:highlight w:val="white"/>
              </w:rPr>
            </w:pPr>
          </w:p>
          <w:p w14:paraId="53ACCF55"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Not available</w:t>
            </w:r>
          </w:p>
        </w:tc>
        <w:tc>
          <w:tcPr>
            <w:tcW w:w="7095" w:type="dxa"/>
          </w:tcPr>
          <w:p w14:paraId="279AC73F" w14:textId="77777777" w:rsidR="009B19A2" w:rsidRDefault="009B19A2" w:rsidP="009B19A2">
            <w:pPr>
              <w:tabs>
                <w:tab w:val="left" w:pos="21405"/>
              </w:tabs>
              <w:spacing w:after="200"/>
              <w:rPr>
                <w:rFonts w:ascii="Arial" w:eastAsia="Arial" w:hAnsi="Arial" w:cs="Arial"/>
                <w:sz w:val="24"/>
                <w:szCs w:val="24"/>
                <w:highlight w:val="white"/>
              </w:rPr>
            </w:pPr>
          </w:p>
          <w:p w14:paraId="77DA8DC8"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Rockstart fund and empower purpose-driven founders scaling impactful solutions by leveraging emerging technologies and new business models that improve our food supply system from soil to gut.</w:t>
            </w:r>
          </w:p>
        </w:tc>
        <w:tc>
          <w:tcPr>
            <w:tcW w:w="1635" w:type="dxa"/>
          </w:tcPr>
          <w:p w14:paraId="167E1FF4"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Agri-tech &amp; Food tech</w:t>
            </w:r>
          </w:p>
        </w:tc>
        <w:tc>
          <w:tcPr>
            <w:tcW w:w="3225" w:type="dxa"/>
          </w:tcPr>
          <w:p w14:paraId="7F9C9580" w14:textId="77777777" w:rsidR="009B19A2" w:rsidRDefault="009B19A2" w:rsidP="009B19A2">
            <w:pPr>
              <w:tabs>
                <w:tab w:val="left" w:pos="21405"/>
              </w:tabs>
              <w:spacing w:after="200"/>
              <w:rPr>
                <w:rFonts w:ascii="Arial" w:eastAsia="Arial" w:hAnsi="Arial" w:cs="Arial"/>
                <w:sz w:val="24"/>
                <w:szCs w:val="24"/>
                <w:highlight w:val="white"/>
                <w:u w:val="single"/>
              </w:rPr>
            </w:pPr>
            <w:r>
              <w:rPr>
                <w:rFonts w:ascii="Arial" w:eastAsia="Arial" w:hAnsi="Arial" w:cs="Arial"/>
                <w:sz w:val="24"/>
                <w:szCs w:val="24"/>
                <w:highlight w:val="white"/>
              </w:rPr>
              <w:t xml:space="preserve">For more information, visit: </w:t>
            </w:r>
            <w:hyperlink r:id="rId10">
              <w:r>
                <w:rPr>
                  <w:rFonts w:ascii="Arial" w:eastAsia="Arial" w:hAnsi="Arial" w:cs="Arial"/>
                  <w:sz w:val="24"/>
                  <w:szCs w:val="24"/>
                  <w:highlight w:val="white"/>
                  <w:u w:val="single"/>
                </w:rPr>
                <w:t>https://rockstart.com/agrifood/</w:t>
              </w:r>
            </w:hyperlink>
          </w:p>
          <w:p w14:paraId="352042BE" w14:textId="77777777" w:rsidR="009B19A2" w:rsidRDefault="009B19A2" w:rsidP="009B19A2">
            <w:pPr>
              <w:tabs>
                <w:tab w:val="left" w:pos="21405"/>
              </w:tabs>
              <w:spacing w:after="200"/>
              <w:rPr>
                <w:rFonts w:ascii="Arial" w:eastAsia="Arial" w:hAnsi="Arial" w:cs="Arial"/>
                <w:sz w:val="24"/>
                <w:szCs w:val="24"/>
                <w:highlight w:val="white"/>
              </w:rPr>
            </w:pPr>
          </w:p>
        </w:tc>
      </w:tr>
      <w:tr w:rsidR="009B19A2" w14:paraId="17523575" w14:textId="77777777" w:rsidTr="009B19A2">
        <w:tc>
          <w:tcPr>
            <w:tcW w:w="930" w:type="dxa"/>
          </w:tcPr>
          <w:p w14:paraId="5CC735DB" w14:textId="77777777" w:rsidR="009B19A2" w:rsidRDefault="009B19A2" w:rsidP="009B19A2">
            <w:pPr>
              <w:numPr>
                <w:ilvl w:val="0"/>
                <w:numId w:val="5"/>
              </w:numPr>
              <w:tabs>
                <w:tab w:val="left" w:pos="21405"/>
              </w:tabs>
              <w:spacing w:after="200"/>
              <w:rPr>
                <w:rFonts w:ascii="Arial" w:eastAsia="Arial" w:hAnsi="Arial" w:cs="Arial"/>
                <w:sz w:val="24"/>
                <w:szCs w:val="24"/>
                <w:highlight w:val="white"/>
              </w:rPr>
            </w:pPr>
          </w:p>
        </w:tc>
        <w:tc>
          <w:tcPr>
            <w:tcW w:w="2130" w:type="dxa"/>
          </w:tcPr>
          <w:p w14:paraId="616A0AD1" w14:textId="77777777" w:rsidR="009B19A2" w:rsidRDefault="009B19A2" w:rsidP="009B19A2">
            <w:pPr>
              <w:tabs>
                <w:tab w:val="left" w:pos="21405"/>
              </w:tabs>
              <w:spacing w:before="280" w:after="280"/>
              <w:jc w:val="both"/>
              <w:rPr>
                <w:rFonts w:ascii="Arial" w:eastAsia="Arial" w:hAnsi="Arial" w:cs="Arial"/>
                <w:sz w:val="24"/>
                <w:szCs w:val="24"/>
                <w:highlight w:val="white"/>
              </w:rPr>
            </w:pPr>
            <w:r>
              <w:rPr>
                <w:rFonts w:ascii="Arial" w:eastAsia="Arial" w:hAnsi="Arial" w:cs="Arial"/>
                <w:sz w:val="24"/>
                <w:szCs w:val="24"/>
                <w:highlight w:val="white"/>
              </w:rPr>
              <w:t>Impact finance for global value chain to support SMEs in the commodity sector</w:t>
            </w:r>
          </w:p>
          <w:p w14:paraId="3C2DE239" w14:textId="77777777" w:rsidR="009B19A2" w:rsidRDefault="009B19A2" w:rsidP="009B19A2">
            <w:pPr>
              <w:tabs>
                <w:tab w:val="left" w:pos="21405"/>
              </w:tabs>
              <w:spacing w:after="200"/>
              <w:rPr>
                <w:rFonts w:ascii="Arial" w:eastAsia="Arial" w:hAnsi="Arial" w:cs="Arial"/>
                <w:sz w:val="24"/>
                <w:szCs w:val="24"/>
                <w:highlight w:val="white"/>
              </w:rPr>
            </w:pPr>
          </w:p>
        </w:tc>
        <w:tc>
          <w:tcPr>
            <w:tcW w:w="3150" w:type="dxa"/>
          </w:tcPr>
          <w:p w14:paraId="474C6692" w14:textId="77777777" w:rsidR="009B19A2" w:rsidRDefault="009B19A2" w:rsidP="009B19A2">
            <w:pPr>
              <w:tabs>
                <w:tab w:val="left" w:pos="21405"/>
              </w:tabs>
              <w:spacing w:before="280" w:after="280"/>
              <w:jc w:val="both"/>
              <w:rPr>
                <w:rFonts w:ascii="Arial" w:eastAsia="Arial" w:hAnsi="Arial" w:cs="Arial"/>
                <w:sz w:val="24"/>
                <w:szCs w:val="24"/>
                <w:highlight w:val="white"/>
              </w:rPr>
            </w:pPr>
            <w:r>
              <w:rPr>
                <w:rFonts w:ascii="Arial" w:eastAsia="Arial" w:hAnsi="Arial" w:cs="Arial"/>
                <w:sz w:val="24"/>
                <w:szCs w:val="24"/>
                <w:highlight w:val="white"/>
              </w:rPr>
              <w:t>SMEs, enterprises, businesses, cooperatives and governments in one of the CFC Member Countries who intend to contribute to the Sustainable Development Goals by investing in commodity value chains.</w:t>
            </w:r>
          </w:p>
          <w:p w14:paraId="5907BBEA" w14:textId="77777777" w:rsidR="009B19A2" w:rsidRDefault="009B19A2" w:rsidP="009B19A2">
            <w:pPr>
              <w:tabs>
                <w:tab w:val="left" w:pos="21405"/>
              </w:tabs>
              <w:spacing w:after="200"/>
              <w:rPr>
                <w:rFonts w:ascii="Arial" w:eastAsia="Arial" w:hAnsi="Arial" w:cs="Arial"/>
                <w:sz w:val="24"/>
                <w:szCs w:val="24"/>
                <w:highlight w:val="white"/>
              </w:rPr>
            </w:pPr>
          </w:p>
        </w:tc>
        <w:tc>
          <w:tcPr>
            <w:tcW w:w="1455" w:type="dxa"/>
          </w:tcPr>
          <w:p w14:paraId="18C0E7C9" w14:textId="77777777" w:rsidR="009B19A2" w:rsidRDefault="009B19A2" w:rsidP="009B19A2">
            <w:pPr>
              <w:tabs>
                <w:tab w:val="left" w:pos="21405"/>
              </w:tabs>
              <w:spacing w:before="280" w:after="280"/>
              <w:jc w:val="both"/>
              <w:rPr>
                <w:rFonts w:ascii="Arial" w:eastAsia="Arial" w:hAnsi="Arial" w:cs="Arial"/>
                <w:sz w:val="24"/>
                <w:szCs w:val="24"/>
                <w:highlight w:val="white"/>
              </w:rPr>
            </w:pPr>
            <w:r>
              <w:rPr>
                <w:rFonts w:ascii="Arial" w:eastAsia="Arial" w:hAnsi="Arial" w:cs="Arial"/>
                <w:sz w:val="24"/>
                <w:szCs w:val="24"/>
                <w:highlight w:val="white"/>
              </w:rPr>
              <w:lastRenderedPageBreak/>
              <w:t>10th April 2023</w:t>
            </w:r>
          </w:p>
          <w:p w14:paraId="3B88D373" w14:textId="77777777" w:rsidR="009B19A2" w:rsidRDefault="009B19A2" w:rsidP="009B19A2">
            <w:pPr>
              <w:tabs>
                <w:tab w:val="left" w:pos="21405"/>
              </w:tabs>
              <w:spacing w:after="200"/>
              <w:rPr>
                <w:rFonts w:ascii="Arial" w:eastAsia="Arial" w:hAnsi="Arial" w:cs="Arial"/>
                <w:sz w:val="24"/>
                <w:szCs w:val="24"/>
                <w:highlight w:val="white"/>
              </w:rPr>
            </w:pPr>
          </w:p>
        </w:tc>
        <w:tc>
          <w:tcPr>
            <w:tcW w:w="975" w:type="dxa"/>
          </w:tcPr>
          <w:p w14:paraId="0B24BCEB" w14:textId="77777777" w:rsidR="009B19A2" w:rsidRDefault="009B19A2" w:rsidP="009B19A2">
            <w:pPr>
              <w:tabs>
                <w:tab w:val="left" w:pos="21405"/>
              </w:tabs>
              <w:spacing w:after="200"/>
              <w:rPr>
                <w:rFonts w:ascii="Arial" w:eastAsia="Arial" w:hAnsi="Arial" w:cs="Arial"/>
                <w:sz w:val="24"/>
                <w:szCs w:val="24"/>
                <w:highlight w:val="white"/>
              </w:rPr>
            </w:pPr>
          </w:p>
          <w:p w14:paraId="1B704A8E"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Grant</w:t>
            </w:r>
          </w:p>
        </w:tc>
        <w:tc>
          <w:tcPr>
            <w:tcW w:w="1170" w:type="dxa"/>
          </w:tcPr>
          <w:p w14:paraId="3DE8F27E" w14:textId="77777777" w:rsidR="009B19A2" w:rsidRDefault="009B19A2" w:rsidP="009B19A2">
            <w:pPr>
              <w:tabs>
                <w:tab w:val="left" w:pos="21405"/>
              </w:tabs>
              <w:spacing w:after="200"/>
              <w:rPr>
                <w:rFonts w:ascii="Arial" w:eastAsia="Arial" w:hAnsi="Arial" w:cs="Arial"/>
                <w:sz w:val="24"/>
                <w:szCs w:val="24"/>
                <w:highlight w:val="white"/>
              </w:rPr>
            </w:pPr>
          </w:p>
          <w:p w14:paraId="2CAB9B80"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t>Not available</w:t>
            </w:r>
          </w:p>
        </w:tc>
        <w:tc>
          <w:tcPr>
            <w:tcW w:w="7095" w:type="dxa"/>
          </w:tcPr>
          <w:p w14:paraId="4E793B2A" w14:textId="77777777" w:rsidR="009B19A2" w:rsidRDefault="009B19A2" w:rsidP="009B19A2">
            <w:pPr>
              <w:tabs>
                <w:tab w:val="left" w:pos="21405"/>
              </w:tabs>
              <w:spacing w:after="80"/>
              <w:jc w:val="both"/>
              <w:rPr>
                <w:rFonts w:ascii="Arial" w:eastAsia="Arial" w:hAnsi="Arial" w:cs="Arial"/>
                <w:sz w:val="24"/>
                <w:szCs w:val="24"/>
                <w:highlight w:val="white"/>
              </w:rPr>
            </w:pPr>
          </w:p>
          <w:p w14:paraId="1BDFA6E8" w14:textId="77777777" w:rsidR="009B19A2" w:rsidRDefault="009B19A2" w:rsidP="009B19A2">
            <w:pPr>
              <w:tabs>
                <w:tab w:val="left" w:pos="21405"/>
              </w:tabs>
              <w:spacing w:after="80"/>
              <w:jc w:val="both"/>
              <w:rPr>
                <w:rFonts w:ascii="Arial" w:eastAsia="Arial" w:hAnsi="Arial" w:cs="Arial"/>
                <w:sz w:val="24"/>
                <w:szCs w:val="24"/>
                <w:highlight w:val="white"/>
              </w:rPr>
            </w:pPr>
            <w:r>
              <w:rPr>
                <w:rFonts w:ascii="Arial" w:eastAsia="Arial" w:hAnsi="Arial" w:cs="Arial"/>
                <w:sz w:val="24"/>
                <w:szCs w:val="24"/>
                <w:highlight w:val="white"/>
              </w:rPr>
              <w:t>The Common Fund for Commodities (CFC) invites applications for financial support from qualifying projects that will demonstrate clear and visible potential to achieve sustainable positive impact on the livelihoods of the poorest people who depend on commodities.</w:t>
            </w:r>
          </w:p>
          <w:p w14:paraId="6E12D44A" w14:textId="77777777" w:rsidR="009B19A2" w:rsidRDefault="009B19A2" w:rsidP="009B19A2">
            <w:pPr>
              <w:tabs>
                <w:tab w:val="left" w:pos="21405"/>
              </w:tabs>
              <w:spacing w:after="80"/>
              <w:jc w:val="both"/>
              <w:rPr>
                <w:rFonts w:ascii="Arial" w:eastAsia="Arial" w:hAnsi="Arial" w:cs="Arial"/>
                <w:sz w:val="24"/>
                <w:szCs w:val="24"/>
                <w:highlight w:val="white"/>
              </w:rPr>
            </w:pPr>
            <w:r>
              <w:rPr>
                <w:rFonts w:ascii="Arial" w:eastAsia="Arial" w:hAnsi="Arial" w:cs="Arial"/>
                <w:sz w:val="24"/>
                <w:szCs w:val="24"/>
                <w:highlight w:val="white"/>
              </w:rPr>
              <w:t xml:space="preserve">The CFC encourages applications proposing innovative solutions for the commodity sector. These may include new </w:t>
            </w:r>
            <w:proofErr w:type="spellStart"/>
            <w:r>
              <w:rPr>
                <w:rFonts w:ascii="Arial" w:eastAsia="Arial" w:hAnsi="Arial" w:cs="Arial"/>
                <w:sz w:val="24"/>
                <w:szCs w:val="24"/>
                <w:highlight w:val="white"/>
              </w:rPr>
              <w:t>agri</w:t>
            </w:r>
            <w:proofErr w:type="spellEnd"/>
            <w:r>
              <w:rPr>
                <w:rFonts w:ascii="Arial" w:eastAsia="Arial" w:hAnsi="Arial" w:cs="Arial"/>
                <w:sz w:val="24"/>
                <w:szCs w:val="24"/>
                <w:highlight w:val="white"/>
              </w:rPr>
              <w:t xml:space="preserve">-tech applications, agroforestry, agro-ecology themed innovative productivity practices, regenerative technologies, increased availability of renewable and affordable energy, expanding </w:t>
            </w:r>
            <w:r>
              <w:rPr>
                <w:rFonts w:ascii="Arial" w:eastAsia="Arial" w:hAnsi="Arial" w:cs="Arial"/>
                <w:sz w:val="24"/>
                <w:szCs w:val="24"/>
                <w:highlight w:val="white"/>
              </w:rPr>
              <w:lastRenderedPageBreak/>
              <w:t>environmental services, expediting digital and green recovery, adding to the nutrition security, climate friendly practices contributing to biodiversity, preventing deforestation, digitalization, financial inclusion, blockchain and other traceability solutions.</w:t>
            </w:r>
          </w:p>
          <w:p w14:paraId="63671C0F" w14:textId="77777777" w:rsidR="009B19A2" w:rsidRDefault="009B19A2" w:rsidP="009B19A2">
            <w:pPr>
              <w:tabs>
                <w:tab w:val="left" w:pos="21405"/>
              </w:tabs>
              <w:spacing w:after="200"/>
              <w:rPr>
                <w:rFonts w:ascii="Arial" w:eastAsia="Arial" w:hAnsi="Arial" w:cs="Arial"/>
                <w:sz w:val="24"/>
                <w:szCs w:val="24"/>
                <w:highlight w:val="white"/>
              </w:rPr>
            </w:pPr>
          </w:p>
        </w:tc>
        <w:tc>
          <w:tcPr>
            <w:tcW w:w="1635" w:type="dxa"/>
          </w:tcPr>
          <w:p w14:paraId="05AC4AFD" w14:textId="77777777" w:rsidR="009B19A2" w:rsidRDefault="009B19A2" w:rsidP="009B19A2">
            <w:pPr>
              <w:tabs>
                <w:tab w:val="left" w:pos="21405"/>
              </w:tabs>
              <w:spacing w:after="200"/>
              <w:rPr>
                <w:rFonts w:ascii="Arial" w:eastAsia="Arial" w:hAnsi="Arial" w:cs="Arial"/>
                <w:sz w:val="24"/>
                <w:szCs w:val="24"/>
                <w:highlight w:val="white"/>
              </w:rPr>
            </w:pPr>
            <w:r>
              <w:rPr>
                <w:rFonts w:ascii="Arial" w:eastAsia="Arial" w:hAnsi="Arial" w:cs="Arial"/>
                <w:sz w:val="24"/>
                <w:szCs w:val="24"/>
                <w:highlight w:val="white"/>
              </w:rPr>
              <w:lastRenderedPageBreak/>
              <w:t>Agriculture, Energy and information technology</w:t>
            </w:r>
          </w:p>
        </w:tc>
        <w:tc>
          <w:tcPr>
            <w:tcW w:w="3225" w:type="dxa"/>
          </w:tcPr>
          <w:p w14:paraId="3DC56FBA" w14:textId="77777777" w:rsidR="009B19A2" w:rsidRDefault="009B19A2" w:rsidP="009B19A2">
            <w:pPr>
              <w:tabs>
                <w:tab w:val="left" w:pos="21405"/>
              </w:tabs>
              <w:spacing w:after="200"/>
              <w:rPr>
                <w:rFonts w:ascii="Arial" w:eastAsia="Arial" w:hAnsi="Arial" w:cs="Arial"/>
                <w:sz w:val="24"/>
                <w:szCs w:val="24"/>
                <w:highlight w:val="white"/>
                <w:u w:val="single"/>
              </w:rPr>
            </w:pPr>
            <w:r>
              <w:rPr>
                <w:rFonts w:ascii="Arial" w:eastAsia="Arial" w:hAnsi="Arial" w:cs="Arial"/>
                <w:sz w:val="24"/>
                <w:szCs w:val="24"/>
                <w:highlight w:val="white"/>
              </w:rPr>
              <w:t xml:space="preserve">For more information, </w:t>
            </w:r>
            <w:proofErr w:type="spellStart"/>
            <w:r>
              <w:rPr>
                <w:rFonts w:ascii="Arial" w:eastAsia="Arial" w:hAnsi="Arial" w:cs="Arial"/>
                <w:sz w:val="24"/>
                <w:szCs w:val="24"/>
                <w:highlight w:val="white"/>
              </w:rPr>
              <w:t>visit:</w:t>
            </w:r>
            <w:hyperlink r:id="rId11">
              <w:r>
                <w:rPr>
                  <w:rFonts w:ascii="Arial" w:eastAsia="Arial" w:hAnsi="Arial" w:cs="Arial"/>
                  <w:sz w:val="24"/>
                  <w:szCs w:val="24"/>
                  <w:highlight w:val="white"/>
                  <w:u w:val="single"/>
                </w:rPr>
                <w:t>https</w:t>
              </w:r>
              <w:proofErr w:type="spellEnd"/>
              <w:r>
                <w:rPr>
                  <w:rFonts w:ascii="Arial" w:eastAsia="Arial" w:hAnsi="Arial" w:cs="Arial"/>
                  <w:sz w:val="24"/>
                  <w:szCs w:val="24"/>
                  <w:highlight w:val="white"/>
                  <w:u w:val="single"/>
                </w:rPr>
                <w:t>://www.common-fund.org/call-for-proposals</w:t>
              </w:r>
            </w:hyperlink>
          </w:p>
          <w:p w14:paraId="5A5C05AA" w14:textId="77777777" w:rsidR="009B19A2" w:rsidRDefault="009B19A2" w:rsidP="009B19A2">
            <w:pPr>
              <w:tabs>
                <w:tab w:val="left" w:pos="21405"/>
              </w:tabs>
              <w:spacing w:after="200"/>
              <w:rPr>
                <w:rFonts w:ascii="Arial" w:eastAsia="Arial" w:hAnsi="Arial" w:cs="Arial"/>
                <w:sz w:val="24"/>
                <w:szCs w:val="24"/>
                <w:highlight w:val="white"/>
              </w:rPr>
            </w:pPr>
          </w:p>
        </w:tc>
      </w:tr>
    </w:tbl>
    <w:p w14:paraId="4468DD48" w14:textId="77777777" w:rsidR="00160F7B" w:rsidRDefault="00160F7B">
      <w:pPr>
        <w:tabs>
          <w:tab w:val="left" w:pos="21405"/>
        </w:tabs>
        <w:spacing w:after="200"/>
        <w:rPr>
          <w:rFonts w:ascii="Arial" w:eastAsia="Arial" w:hAnsi="Arial" w:cs="Arial"/>
          <w:sz w:val="24"/>
          <w:szCs w:val="24"/>
          <w:highlight w:val="white"/>
        </w:rPr>
      </w:pPr>
      <w:bookmarkStart w:id="2" w:name="_GoBack"/>
      <w:bookmarkEnd w:id="2"/>
    </w:p>
    <w:p w14:paraId="2272AB99" w14:textId="77777777" w:rsidR="00160F7B" w:rsidRDefault="00160F7B">
      <w:pPr>
        <w:tabs>
          <w:tab w:val="left" w:pos="21405"/>
        </w:tabs>
        <w:spacing w:after="200"/>
        <w:rPr>
          <w:rFonts w:ascii="Arial" w:eastAsia="Arial" w:hAnsi="Arial" w:cs="Arial"/>
          <w:sz w:val="24"/>
          <w:szCs w:val="24"/>
          <w:highlight w:val="white"/>
        </w:rPr>
      </w:pPr>
    </w:p>
    <w:p w14:paraId="242DCB26" w14:textId="77777777" w:rsidR="00160F7B" w:rsidRDefault="00160F7B">
      <w:pPr>
        <w:tabs>
          <w:tab w:val="left" w:pos="21405"/>
        </w:tabs>
        <w:spacing w:after="200"/>
        <w:rPr>
          <w:rFonts w:ascii="Arial" w:eastAsia="Arial" w:hAnsi="Arial" w:cs="Arial"/>
          <w:sz w:val="24"/>
          <w:szCs w:val="24"/>
          <w:highlight w:val="white"/>
        </w:rPr>
      </w:pPr>
    </w:p>
    <w:sectPr w:rsidR="00160F7B">
      <w:headerReference w:type="default" r:id="rId12"/>
      <w:pgSz w:w="24480" w:h="15840" w:orient="landscape"/>
      <w:pgMar w:top="156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A63AB" w14:textId="77777777" w:rsidR="00E331B6" w:rsidRDefault="00E331B6">
      <w:pPr>
        <w:spacing w:after="0" w:line="240" w:lineRule="auto"/>
      </w:pPr>
      <w:r>
        <w:separator/>
      </w:r>
    </w:p>
  </w:endnote>
  <w:endnote w:type="continuationSeparator" w:id="0">
    <w:p w14:paraId="38FD1DBF" w14:textId="77777777" w:rsidR="00E331B6" w:rsidRDefault="00E3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maine Disp">
    <w:altName w:val="Cambria"/>
    <w:panose1 w:val="020A0503080505060203"/>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3B16E" w14:textId="77777777" w:rsidR="00E331B6" w:rsidRDefault="00E331B6">
      <w:pPr>
        <w:spacing w:after="0" w:line="240" w:lineRule="auto"/>
      </w:pPr>
      <w:r>
        <w:separator/>
      </w:r>
    </w:p>
  </w:footnote>
  <w:footnote w:type="continuationSeparator" w:id="0">
    <w:p w14:paraId="5DBDD727" w14:textId="77777777" w:rsidR="00E331B6" w:rsidRDefault="00E3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3A5C" w14:textId="77777777" w:rsidR="00160F7B" w:rsidRDefault="00E331B6">
    <w:pPr>
      <w:pBdr>
        <w:top w:val="nil"/>
        <w:left w:val="nil"/>
        <w:bottom w:val="nil"/>
        <w:right w:val="nil"/>
        <w:between w:val="nil"/>
      </w:pBdr>
      <w:tabs>
        <w:tab w:val="center" w:pos="4680"/>
        <w:tab w:val="right" w:pos="9360"/>
      </w:tabs>
      <w:spacing w:after="0" w:line="240" w:lineRule="auto"/>
      <w:jc w:val="center"/>
      <w:rPr>
        <w:rFonts w:ascii="Domaine Disp" w:eastAsia="Domaine Disp" w:hAnsi="Domaine Disp" w:cs="Domaine Disp"/>
        <w:color w:val="000000"/>
        <w:sz w:val="24"/>
        <w:szCs w:val="24"/>
      </w:rPr>
    </w:pPr>
    <w:r>
      <w:rPr>
        <w:rFonts w:ascii="Domaine Disp" w:eastAsia="Domaine Disp" w:hAnsi="Domaine Disp" w:cs="Domaine Disp"/>
        <w:color w:val="000000"/>
        <w:sz w:val="24"/>
        <w:szCs w:val="24"/>
      </w:rPr>
      <w:t>SUMMARY OF GRANT OPPORTUNITIES</w:t>
    </w:r>
    <w:r>
      <w:rPr>
        <w:noProof/>
        <w:lang w:eastAsia="en-US"/>
      </w:rPr>
      <w:drawing>
        <wp:anchor distT="0" distB="0" distL="114300" distR="114300" simplePos="0" relativeHeight="251658240" behindDoc="0" locked="0" layoutInCell="1" hidden="0" allowOverlap="1" wp14:anchorId="5D5FEB3D" wp14:editId="43D05894">
          <wp:simplePos x="0" y="0"/>
          <wp:positionH relativeFrom="column">
            <wp:posOffset>-208606</wp:posOffset>
          </wp:positionH>
          <wp:positionV relativeFrom="paragraph">
            <wp:posOffset>-304075</wp:posOffset>
          </wp:positionV>
          <wp:extent cx="1045845" cy="812800"/>
          <wp:effectExtent l="0" t="0" r="0" b="0"/>
          <wp:wrapNone/>
          <wp:docPr id="9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045845" cy="812800"/>
                  </a:xfrm>
                  <a:prstGeom prst="rect">
                    <a:avLst/>
                  </a:prstGeom>
                  <a:ln/>
                </pic:spPr>
              </pic:pic>
            </a:graphicData>
          </a:graphic>
        </wp:anchor>
      </w:drawing>
    </w:r>
  </w:p>
  <w:p w14:paraId="0C4CC30D" w14:textId="77777777" w:rsidR="00160F7B" w:rsidRDefault="00E331B6">
    <w:pPr>
      <w:pBdr>
        <w:top w:val="nil"/>
        <w:left w:val="nil"/>
        <w:bottom w:val="nil"/>
        <w:right w:val="nil"/>
        <w:between w:val="nil"/>
      </w:pBdr>
      <w:tabs>
        <w:tab w:val="center" w:pos="4680"/>
        <w:tab w:val="right" w:pos="9360"/>
      </w:tabs>
      <w:spacing w:after="0" w:line="240" w:lineRule="auto"/>
      <w:jc w:val="center"/>
      <w:rPr>
        <w:rFonts w:ascii="Domaine Disp" w:eastAsia="Domaine Disp" w:hAnsi="Domaine Disp" w:cs="Domaine Disp"/>
        <w:i/>
      </w:rPr>
    </w:pPr>
    <w:r>
      <w:rPr>
        <w:rFonts w:ascii="Domaine Disp" w:eastAsia="Domaine Disp" w:hAnsi="Domaine Disp" w:cs="Domaine Disp"/>
        <w:i/>
        <w:sz w:val="24"/>
        <w:szCs w:val="24"/>
      </w:rPr>
      <w:t>27th March,</w:t>
    </w:r>
    <w:r>
      <w:rPr>
        <w:rFonts w:ascii="Domaine Disp" w:eastAsia="Domaine Disp" w:hAnsi="Domaine Disp" w:cs="Domaine Disp"/>
        <w:i/>
        <w:color w:val="000000"/>
      </w:rPr>
      <w:t>202</w:t>
    </w:r>
    <w:r>
      <w:rPr>
        <w:rFonts w:ascii="Domaine Disp" w:eastAsia="Domaine Disp" w:hAnsi="Domaine Disp" w:cs="Domaine Disp"/>
        <w:i/>
      </w:rPr>
      <w:t>3</w:t>
    </w:r>
  </w:p>
  <w:p w14:paraId="77E38536" w14:textId="77777777" w:rsidR="00160F7B" w:rsidRDefault="00160F7B">
    <w:pPr>
      <w:pBdr>
        <w:top w:val="nil"/>
        <w:left w:val="nil"/>
        <w:bottom w:val="nil"/>
        <w:right w:val="nil"/>
        <w:between w:val="nil"/>
      </w:pBdr>
      <w:tabs>
        <w:tab w:val="center" w:pos="4680"/>
        <w:tab w:val="right" w:pos="9360"/>
      </w:tabs>
      <w:spacing w:after="0" w:line="240" w:lineRule="auto"/>
      <w:rPr>
        <w:rFonts w:ascii="Domaine Disp" w:eastAsia="Domaine Disp" w:hAnsi="Domaine Disp" w:cs="Domaine Disp"/>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AA4"/>
    <w:multiLevelType w:val="multilevel"/>
    <w:tmpl w:val="7CE25B7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17B3C47"/>
    <w:multiLevelType w:val="multilevel"/>
    <w:tmpl w:val="41A0F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2A91156"/>
    <w:multiLevelType w:val="multilevel"/>
    <w:tmpl w:val="81807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EF2883"/>
    <w:multiLevelType w:val="multilevel"/>
    <w:tmpl w:val="E9FAB06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3213E31"/>
    <w:multiLevelType w:val="multilevel"/>
    <w:tmpl w:val="5FEC5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7B"/>
    <w:rsid w:val="00160F7B"/>
    <w:rsid w:val="00492C05"/>
    <w:rsid w:val="009B19A2"/>
    <w:rsid w:val="00E331B6"/>
    <w:rsid w:val="00E64E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2A53"/>
  <w15:docId w15:val="{70F3A992-03B5-A540-BCFE-0F639706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6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C4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F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C53"/>
    <w:rPr>
      <w:color w:val="0563C1" w:themeColor="hyperlink"/>
      <w:u w:val="single"/>
    </w:rPr>
  </w:style>
  <w:style w:type="character" w:customStyle="1" w:styleId="UnresolvedMention">
    <w:name w:val="Unresolved Mention"/>
    <w:basedOn w:val="DefaultParagraphFont"/>
    <w:uiPriority w:val="99"/>
    <w:semiHidden/>
    <w:unhideWhenUsed/>
    <w:rsid w:val="00F74C53"/>
    <w:rPr>
      <w:color w:val="605E5C"/>
      <w:shd w:val="clear" w:color="auto" w:fill="E1DFDD"/>
    </w:rPr>
  </w:style>
  <w:style w:type="character" w:customStyle="1" w:styleId="Heading1Char">
    <w:name w:val="Heading 1 Char"/>
    <w:basedOn w:val="DefaultParagraphFont"/>
    <w:link w:val="Heading1"/>
    <w:uiPriority w:val="9"/>
    <w:rsid w:val="005F6D7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A41F6"/>
    <w:pPr>
      <w:ind w:left="720"/>
      <w:contextualSpacing/>
    </w:pPr>
  </w:style>
  <w:style w:type="character" w:customStyle="1" w:styleId="Heading2Char">
    <w:name w:val="Heading 2 Char"/>
    <w:basedOn w:val="DefaultParagraphFont"/>
    <w:link w:val="Heading2"/>
    <w:uiPriority w:val="9"/>
    <w:semiHidden/>
    <w:rsid w:val="00BC4BAC"/>
    <w:rPr>
      <w:rFonts w:asciiTheme="majorHAnsi" w:eastAsiaTheme="majorEastAsia" w:hAnsiTheme="majorHAnsi" w:cstheme="majorBidi"/>
      <w:color w:val="2F5496" w:themeColor="accent1" w:themeShade="BF"/>
      <w:sz w:val="26"/>
      <w:szCs w:val="26"/>
    </w:rPr>
  </w:style>
  <w:style w:type="character" w:customStyle="1" w:styleId="atom-main">
    <w:name w:val="atom-main"/>
    <w:basedOn w:val="DefaultParagraphFont"/>
    <w:rsid w:val="00135DB9"/>
  </w:style>
  <w:style w:type="paragraph" w:styleId="Header">
    <w:name w:val="header"/>
    <w:basedOn w:val="Normal"/>
    <w:link w:val="HeaderChar"/>
    <w:uiPriority w:val="99"/>
    <w:unhideWhenUsed/>
    <w:rsid w:val="00764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1E"/>
  </w:style>
  <w:style w:type="paragraph" w:styleId="Footer">
    <w:name w:val="footer"/>
    <w:basedOn w:val="Normal"/>
    <w:link w:val="FooterChar"/>
    <w:uiPriority w:val="99"/>
    <w:unhideWhenUsed/>
    <w:rsid w:val="00764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1E"/>
  </w:style>
  <w:style w:type="character" w:styleId="FollowedHyperlink">
    <w:name w:val="FollowedHyperlink"/>
    <w:basedOn w:val="DefaultParagraphFont"/>
    <w:uiPriority w:val="99"/>
    <w:semiHidden/>
    <w:unhideWhenUsed/>
    <w:rsid w:val="0076401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95D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idgesforenterprise.com/startu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on-fund.org/call-for-proposals" TargetMode="External"/><Relationship Id="rId5" Type="http://schemas.openxmlformats.org/officeDocument/2006/relationships/webSettings" Target="webSettings.xml"/><Relationship Id="rId10" Type="http://schemas.openxmlformats.org/officeDocument/2006/relationships/hyperlink" Target="https://rockstart.com/agrifood/" TargetMode="External"/><Relationship Id="rId4" Type="http://schemas.openxmlformats.org/officeDocument/2006/relationships/settings" Target="settings.xml"/><Relationship Id="rId9" Type="http://schemas.openxmlformats.org/officeDocument/2006/relationships/hyperlink" Target="https://www.grants.gov/web/grants/view-opportunity.html?oppId=3260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tNHqM4ktS/w6sGDmZg603vI9Xg==">AMUW2mVO49bj6opLWyAEcglQD51tWqLj0tmpP/688u3ulgA0Bm84ozTVdPU65wAybYEGLL5N+oerQ7GWzeJM6V7IXRxuReTYQx2G78BF2S0Ext7LFSHaV3faorwnzpHnYCavc9Qg5Fywt91eYUauinOADeEUPnpYYP9doSy22enaPfZvO01Y46wppQH/8nPAqx8Ons21eKURMnwHD5IgZGBWVuTjP2HTS17TlIvsiAdq16Yo64og1ZKy/6L4Kayy0LJMU6I/YNmpFoHG27KAGLkSfcU5DcLI//d56dkHVfFo+pGPqN+VUr40M0zqn7cjgksH7gXyuuUI7k5LYpkkk8G5OVE/qnnGs9Zt3UB0CBxMIG7fVC00qwQzoNPyOM//4ZQkkU9kahjXo7LPrPZOtznYgNAaCa+yJtP9R3SHzby0EouSu1MP1sJJBHmwSXQcieatm11GINSCxqAxsWPVFx0LmAuy5VQF6okLDjtnpXMhyEVlA2ayoT20Gi5XZpsp36IQ0jOVAWDk5aWS+d5MXlxS9aa8nMOLcVFqdP/mX8y6goOu2CMidd4PVn0iqPvF65gMH6bLQ9eOm7dTOlBciIE8gVxaGVJl/LG5nZn+bJwrWV4UWzEYhCrAKRakOmeOuLl6oXl5+MPM7zbDSl+Bzo3Ul9YDbe+ElJf+qTA+v8GSwFRd+wRJYKyM2ReQoKbS1i5QOs4Q5aDZaiLbClbZyb6e74YDmWvf+OCwizju1gThXGAO6Run0WYdRclwLmpqmj45Drt0QGfKQxnYlb2PxUPlnuzLFTn6+21jWlPfImMSYKMrfjbxsqDG0GjtfShrFXorg1jiTLqlPW9XHy6FYRmbqHU6SJh+mRfSYpzxOXQjlx9tt0dN2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3388</Characters>
  <Application>Microsoft Office Word</Application>
  <DocSecurity>0</DocSecurity>
  <Lines>188</Lines>
  <Paragraphs>48</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4737</dc:creator>
  <cp:lastModifiedBy>user</cp:lastModifiedBy>
  <cp:revision>3</cp:revision>
  <dcterms:created xsi:type="dcterms:W3CDTF">2021-07-16T17:13:00Z</dcterms:created>
  <dcterms:modified xsi:type="dcterms:W3CDTF">2023-04-18T14:06:00Z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65630fc6dac4a57b33f75a2bc1151b922e529a335537759672e5e4540e69310e</vt:lpwstr>
  </property>
</Properties>
</file>